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95E" w:rsidRDefault="00A2795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One Million Dead in Iraq: Our Own Holocaust Denial</w:t>
      </w: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Mark Weisbrot  -  Nov. 22, 2007 -  Information Clearing House</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Institutionally unwilling to consider America’s responsibility for the bloodbath, the traditional media have refused to acknowledge the massive number of Iraqis killed since the invasion.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actual number of people who have been killed is most likely more than one million. This is five times more than the estimates of killings in Darfur and even more than the genocide in Rwanda 13 years ago.</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estimate of more than one million violent deaths in Iraq was confirmed again two months ago in a poll by the British polling firm Opinion Research Business, which estimated 1,220,580 violent deaths since the US invasion.</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consistent with the study conducted by doctors and scientists from the Johns Hopkins University School of Public Health more than a year ago. Their study was published in the Lancet, Britain’s leading medical journal. It estimated 601,000 people killed due to violence as of July 2006; but if updated on the basis of deaths since the study, this estimate would also be more than a million.</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estimates do not include those who have died because of public health problems created by the war, including breakdowns in sewerage systems and electricity, shortages of medicines, etc.</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Amazingly, some journalists and editors - and of course some politicians - dismiss such measurements because they are based on random sampling of the population rather than a complete count of the dead. While it would be wrong to blame anyone for their lack of education, this disregard for scientific methods and results is inexcusable.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methods used in the estimates of Iraqi deaths are the same as those used to estimate the deaths in Darfur, which are widely accepted in the media.   .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Iraqi lives do not count for much in US politics, recognizing that a mass slaughter of this magnitude is taking place could lead to more questions about how this horrible situation came to be.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strategy of the occupying forces    . . .   to pit one ethnic group against another. This was clear when Shiite troops were sent into Sunni Fallujah in 2004; it is obvious in the nature of the death-squad government, where officials from the highest levels of the Interior Ministry to the lowest ranking police officers - all trained and supported by the US military - have carried out a violent, sectarian mission of “ethnic cleansing.”    . . .    It has become even more obvious in recent months as the United States is now arming both sides of the civil war, including Sunni militias in Anbar province as well as the Shiite government militias.</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Is Washington responsible for a holocaust in Iraq? That is the question that almost everyone here wants to avoid. So the holocaust is denied</w:t>
      </w: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http://www.informationclearinghouse.info/article18765.htm</w:t>
      </w: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PIIGS Countries, Being Led to the Slaughter, Should Rethink Euro</w:t>
      </w:r>
    </w:p>
    <w:p w:rsidR="00A2795E" w:rsidRDefault="00A2795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Mark Weisbrot</w:t>
      </w:r>
    </w:p>
    <w:p w:rsidR="00A2795E" w:rsidRDefault="00A2795E">
      <w:pPr>
        <w:widowControl w:val="0"/>
        <w:autoSpaceDE w:val="0"/>
        <w:autoSpaceDN w:val="0"/>
        <w:adjustRightInd w:val="0"/>
        <w:spacing w:after="0" w:line="240" w:lineRule="auto"/>
        <w:rPr>
          <w:rFonts w:ascii="Arial" w:hAnsi="Arial" w:cs="Arial"/>
          <w:sz w:val="12"/>
          <w:szCs w:val="12"/>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problem is that they have a fixed   . . .   overvalued currency   . . .   the euro.  As many observers have noted, if these countries had their own national currencies, they could allow their currencies to depreciate.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not for the euro and the rules governing the European Central Bank, they could adopt the kind of "quantitative easing" that the U.S. and UK have used -- in other words, create money and use it to buy up your own government debt. This could help their economies recover and lower their long-term debt burden.</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Instead, they are following a program of    . . .    increasing unemployment so as to lower wages and prices relative to their trading partners.    . . .    The hope is that they can export their way out of the recession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Withdrawing from the euro has its own costs and risks.  But if the alternative is an indefinite period of recession, high-unemployment, and stagnation, it is something that is worth serious consideration.</w:t>
      </w:r>
    </w:p>
    <w:p w:rsidR="00A2795E" w:rsidRDefault="00A2795E">
      <w:pPr>
        <w:widowControl w:val="0"/>
        <w:autoSpaceDE w:val="0"/>
        <w:autoSpaceDN w:val="0"/>
        <w:adjustRightInd w:val="0"/>
        <w:spacing w:after="0" w:line="240" w:lineRule="auto"/>
        <w:rPr>
          <w:rFonts w:ascii="Arial" w:hAnsi="Arial" w:cs="Arial"/>
          <w:sz w:val="12"/>
          <w:szCs w:val="12"/>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http://mrzine.monthlyreview.org/2010/weisbrot260310.html</w:t>
      </w: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Mark Weisbrot on Ecuador's Expulsion of U.S. Ambassador</w:t>
      </w: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Center for Economic and Policy Research</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declaration by the Ecuadorian government that U.S. Ambassador Heather Hodges is “persona non grata” and must leave Ecuador as soon as possible should not come as a surprise, Mark Weisbrot, Co-Director of the Center for Economic and Policy Research, said today. Weisbrot noted that the expulsion follows recent troubling revelations in cables released by Wikileaks that describe U.S. government co-ordination with Colombia over a public relations strategy to attempt to link Ecuadorian President Rafael Correa to the Colombian guerrillas the FARC.</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Obama Administration doesn’t seem to know how to have normal diplomatic relations with democratic, left-of-center governments in the hemisphere,” Weisbrot said. He noted that there was a trend – well documented through U.S. government cables, funding disclosures, and other information – of attempts to undermine governments in Bolivia, Brazil, Honduras, Venezuela, and other countries.    . . .</w:t>
      </w:r>
    </w:p>
    <w:p w:rsidR="00A2795E" w:rsidRDefault="00A2795E">
      <w:pPr>
        <w:widowControl w:val="0"/>
        <w:autoSpaceDE w:val="0"/>
        <w:autoSpaceDN w:val="0"/>
        <w:adjustRightInd w:val="0"/>
        <w:spacing w:after="0" w:line="240" w:lineRule="auto"/>
        <w:rPr>
          <w:rFonts w:ascii="Times New Roman" w:hAnsi="Times New Roman" w:cs="Times New Roman"/>
          <w:sz w:val="24"/>
          <w:szCs w:val="24"/>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http://jimnichols.posterous.com/mark-weisbrot-on-ecuadors-expulsion-of-us-amb</w:t>
      </w: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An Interview with CEPR’s Mark Weisbrot</w:t>
      </w:r>
    </w:p>
    <w:p w:rsidR="00A2795E" w:rsidRDefault="00A2795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Kim Ives    -   Haiti Liberte   -   Feb. 8th, 2011</w:t>
      </w:r>
    </w:p>
    <w:p w:rsidR="00A2795E" w:rsidRDefault="00A2795E">
      <w:pPr>
        <w:widowControl w:val="0"/>
        <w:autoSpaceDE w:val="0"/>
        <w:autoSpaceDN w:val="0"/>
        <w:adjustRightInd w:val="0"/>
        <w:spacing w:after="0" w:line="240" w:lineRule="auto"/>
        <w:rPr>
          <w:rFonts w:ascii="Arial" w:hAnsi="Arial" w:cs="Arial"/>
          <w:sz w:val="12"/>
          <w:szCs w:val="12"/>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576" w:right="576"/>
        <w:rPr>
          <w:rFonts w:ascii="Arial" w:hAnsi="Arial" w:cs="Arial"/>
          <w:sz w:val="12"/>
          <w:szCs w:val="12"/>
        </w:rPr>
      </w:pPr>
    </w:p>
    <w:p w:rsidR="00A2795E" w:rsidRDefault="00A2795E">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Weisbrot writes a weekly column for The Guardian in England, for </w:t>
      </w:r>
    </w:p>
    <w:p w:rsidR="00A2795E" w:rsidRDefault="00A2795E">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McClatchy-Tribune Information Services in the U.S., and for Folha de Sao Paulo, </w:t>
      </w:r>
    </w:p>
    <w:p w:rsidR="00A2795E" w:rsidRDefault="00A2795E">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Brazil’s largest newspaper.</w:t>
      </w:r>
    </w:p>
    <w:p w:rsidR="00A2795E" w:rsidRDefault="00A2795E">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576" w:right="576"/>
        <w:rPr>
          <w:rFonts w:ascii="Arial" w:hAnsi="Arial" w:cs="Arial"/>
          <w:sz w:val="12"/>
          <w:szCs w:val="12"/>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recent weeks, Mark Weisbrot, an economist and co-director of the Washington-based Center for Economic and Policy Research (CEPR), has been one of the most outspoken and relentless critics of the Nov. 28 Haitian elections and the Organization of American States (OAS) report that sought to “correct” them.</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response to the Provisional Electoral Council’s Feb. 3 announcement that it would change the presidential candidates in the Nov. 28 election’s second round, now scheduled for Mar. 20, Weisbrot wrote: “What a disgrace this is to the United States government: the richest country in the world has forced one of the poorest to change the results of its presidential election, literally under the threat of starvation. Now two right-wing candidates, who received votes from around 6.4 and 4.5 percent of registered voters, respectively, will compete for the presidency, in another farcical 'election.' This is a big setback for democracy in Haiti. Far from fixing the problems with the first elections, this is simply an attempt to impose an illegitimate government on Haiti, and it will backfire.”</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http://www.haitianalysis.com/2011/2/10/an-interview-with-cepr-s-mark-weisbrot</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Mark Weisbrot on Haiti elections, Vijay Prashad on Egypt and the U.S.</w:t>
      </w: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CounterSpin  (Feb. 11, 2011   -   Feb., 17, 20011)</w:t>
      </w: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Welcome back to CounterSpin Mark Weisbrot!</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MW: Thanks, great to be back.</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CS: Let's go back to the beginning of Haiti's current election cycle. Could you talk about the role the US and its allies including France have played in the process, beginning with the official exclusion of country's most popular party?</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MW: Well yes the most popular party, which is Fanmi Lavalas, was excluded from the elections November 28th — as they were also excluded 2009 from the parliamentary election, and in that election in 2009 there was a boycott of over 90% of voters. This time about 3/4ths of voters did not vote. This is all under pressure from the United States, Canada and France which don't want this party involved and acted together to overthrow the government of President Aristide in 2004, which of course Fanmi Lavalas is his party. So this is all a continuing story, which really goes back to the first overthrow of Aristide in 1991, which was also supported by the US government.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CS: Well, with the most popular party excluded from the election it doesn't seem too harsh to say that the US and its allies have applied pressure to have the elections rigged, and rigged at more than one stage.</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MW: Yes, the story does get worse because even in that election with only a quarter of people voting, then the US (using the Organization of American States as an instrument) forced Haiti to change the results of the first round of the election.</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other words, the government candidate Jude Celestin had come in second and qualified for the run-off, and the OAS did a report saying that he should be third and not in the run-off, and that gives us an election on March 20 with just two right-wing candidates.</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Which is very odd for Haiti, it's not a right wing country — people have never voted willingly for a right wing government. The thing is, the United States used all kinds of pressure; they threatened to cut off aid to the country, they cancelled the visas of people in the government, there were even reports — quite credible ones — from journalism professor Amy Wilentz in the LA Times saying that President Préval was being threatened with being thrown out of the country, like they did to President Aristide in 2004. And so there were enormous threats to change the results of the election, and I should say also that the OAS had no statistical or factual basis for changing the results of the election. And it turns out that as we speak right now, 4 out of the 8 members Haiti's electoral commission didn't sign off on the result, and so it's not clear that this election has any legal validity, either.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MW:    . . .   After the US-sponsored coup in 1991, and there our government also supported the death squads, about 4,000 people were murdered. After the latest coup in 2004 which was completely organized by the US and its allies, some 3,000 or 4,000 people were killed.  . . .    The idea is completely Orwellian, the idea that Aristide was some kind of a dictator. What he really did was he got rid of more than 98% of the political violence in the country by abolishing the army and what was called the "section chief" system, which was a system of 500 section chiefs, mainly in the countryside, that terrorized the population. Those were the main sources of political violence, that is why Washington has really not forgiven Aristide for doing this, and so they turned it completely upside-down and made him look like he was the purveyor of violence.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CS: Do you think it's fair to say that Hillary Clinton went to Haiti because she was afraid that Haitian democracy was threatening the US and their allies efforts to ensure that a Haitian president came into office that was to their liking? </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MW: I think that's exactly it.    .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CS: We've been speaking with Marc Weisbrot of the Center for Economic &amp; Policy Research. You can read his work on Haiti in the Guardian or at CEPR.net. Thanks again for joining us on CounterSpin, Mark Weisbrot!</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http://www.fair.org/index.php?page=4249</w:t>
      </w: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Unbearable Costs of Empire</w:t>
      </w: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Mark Weisbrot, Co-director of the Center for Economic &amp; Policy Research, in Washington, D.C., Edited by Patricia O'Connell     -     Businessweek.com</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post-9/11 age of American empire will close not with a bang but a whimper, suffocated by the laws of arithmetic, the constraints of public financing, and the limits of foreign borrowing. What remains to be determined is how much the U.S. will pay -- in lost and ruined lives, as well as bills for future generations -- and how many enemies it will make throughout the world, before coming to grips with reality.</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http://www.businessweek.com/bwdaily/dnflash/jul2004/nf20040729_9971_db045.htm</w:t>
      </w: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Thanks for nothing</w:t>
      </w: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Obrin  -   Pueblo Chieftain  -   May 8, 2011</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next time you fill up at the ridiculous current prices thank President Barack Obama. Thank Interior Secretary Ken Salazar. Thank all of the environmentalists. Obama and Salazar have single-handily artificially driven up gasoline prices. Obama has placed so many restrictions on our own oil production it is suicidal. It has been over 30 years since the Arab nations held us hostage with the first oil embargo. Jimmy Carter (Democrat) decided to create a governmental agency to solve the problem, The Department of Energy: that has worked out well. The environmentalists argue it takes too long to drill and process the oil to help in the current price crisis. If we had started to drill 30 years ago we would not be in the state we are in.</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the only nation in the world that places restrictions on itself for energy production. We have more oil than all of the Middle East. How unbelievably stupid we are. —</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Emails were leaked out of England two years ago that prove the hockey stick theory the global warming alarmist have been using for the past 30 years was based on fraudulent data, never mentioned by the media.</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global warming argument is a lie. So we buy oil from nations that hate us, who then use that money to wage war against us, how incredibly insane.</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price of oil will have a domino effect, increasing cost to raise crops, increasing cost to transport products and to produce all products. Guess who pays all this increased cost, you and me the consumer. Obama during his campaign said he would not mind $4 a gallon gas prices, again never covered by the media. So the next time you fill up or buy anything tell Obama and Salazar, “Thank you, sir, may I have another.”</w:t>
      </w: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---http://www.chieftain.com/opinion/tell_it_to_the_chieftain/thanks-for-nothing/article_897045ba-7847-11e0-b46d-001cc4c03286.html</w:t>
      </w: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Jamia avoids both Osama &amp; Obama</w:t>
      </w: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Divya A, TNN   -  May 8, 2011</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New Delhi:    . .   At Jamia Millia Islamia  . . .   one of the country's largest minority institutions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Professor Akhtarul Wasey    . . .   heads the Islamic Studies department. "We are against the violence being perpetrated by Nato forces in Afghanistan, Iraq and Palestine. We denounce any kind of violence, to whatever end. We are equally against the violence of Obama and Osama," he says.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young woman:    . . .   "Obama is scared of India. He wants America to rule over us.   . . .    Obama is trying to create differences between India and Pakistan. Ultimately, after destroying Pakistan, he will destroy India," she said.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Lecturer Arshad Alam says     . . .   "now that Osama has been killed, I hope the fear psychosis created by the West (against Islam) will give way."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Wasey may speak for many when he says    . . .   "Now   . . .    Obama has no justification to keep Western forces in Iraq and Afghanistan    . . .   If forces are withdrawn, things will certainly change for the better".    . . .</w:t>
      </w:r>
    </w:p>
    <w:p w:rsidR="00A2795E" w:rsidRDefault="00A2795E">
      <w:pPr>
        <w:widowControl w:val="0"/>
        <w:autoSpaceDE w:val="0"/>
        <w:autoSpaceDN w:val="0"/>
        <w:adjustRightInd w:val="0"/>
        <w:spacing w:after="0" w:line="240" w:lineRule="auto"/>
        <w:rPr>
          <w:rFonts w:ascii="Arial" w:hAnsi="Arial" w:cs="Arial"/>
          <w:sz w:val="12"/>
          <w:szCs w:val="12"/>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18"/>
          <w:szCs w:val="18"/>
        </w:rPr>
        <w:tab/>
        <w:t>---http://timesofindia.indiatimes.com/city/delhi/Jamia-avoids-both-Osama-Obama/articleshow/8189646.cms</w:t>
      </w: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4"/>
          <w:szCs w:val="24"/>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Indirect Aggression — a Weapon of the Imperialist Powers</w:t>
      </w:r>
    </w:p>
    <w:p w:rsidR="00A2795E" w:rsidRDefault="00A2795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Y. Yudin, I. Vanich</w:t>
      </w:r>
    </w:p>
    <w:p w:rsidR="00A2795E" w:rsidRDefault="00A2795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International Affairs,  No. 11,  Vol.4, 1958, page(s): 38-44</w:t>
      </w:r>
    </w:p>
    <w:p w:rsidR="00A2795E" w:rsidRDefault="00A2795E">
      <w:pPr>
        <w:widowControl w:val="0"/>
        <w:autoSpaceDE w:val="0"/>
        <w:autoSpaceDN w:val="0"/>
        <w:adjustRightInd w:val="0"/>
        <w:spacing w:after="0" w:line="240" w:lineRule="auto"/>
        <w:rPr>
          <w:rFonts w:ascii="Arial" w:hAnsi="Arial" w:cs="Arial"/>
          <w:sz w:val="12"/>
          <w:szCs w:val="12"/>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tecniques of sabre-rattling, threats and outright military action have recently been extensively used by the imperialist Powers headed by the United States. Their leaders have clearly resolved to step up their "brink of war" policy and armed aggression is assuming an increasingly important place in their diplomatic armoury.</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sending their troops into the Lebanon and Jordan, the United States and Britain recently committed open armed intervention in the Middle East, while today, by reinforcing its Seventh Fleet in the Taiwan Straits and building up its armed forces in the area, the United States is provoking a war against People's China and endangering peace in the Far East.</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friends of peace of all political views and opinions cannot remain indifferent to the imperialists' senseless and hazardous playing with fire. The armed intervention in the Lebanon and Jordan and the American aggressors' new attacks on the Chinese People's Republic have aroused profound indignation and alarm among the widest sections of world opinion. The progressive forces of the world demand that the Western Powers immediately call a halt to their policy of aggression and provocation. America's reckless policy has been criticized even by some of her NATO allies and by U.S. politicians like Acheson, Fullbright, Mansfield and Morse.</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architects of the "positions of strength" policy found themselves in a difficult plight as they stood before the bar of world opinion. Obliged to find some justification for their barefaced aggressions, they could think of nothing better than the old hackneyed talk about "the hand of Moscow". In an attempt to divert world attention, the imperialist rulers whipped up a campaign about so-called indirect aggression, depicting the Soviet Union as the chief offender. In reality, indirect aggression is a tried and trusted imperialist technique, as is clear from a study of the facts.   . . .</w:t>
      </w:r>
    </w:p>
    <w:p w:rsidR="00A2795E" w:rsidRDefault="00A2795E">
      <w:pPr>
        <w:widowControl w:val="0"/>
        <w:autoSpaceDE w:val="0"/>
        <w:autoSpaceDN w:val="0"/>
        <w:adjustRightInd w:val="0"/>
        <w:spacing w:after="0" w:line="240" w:lineRule="auto"/>
        <w:rPr>
          <w:rFonts w:ascii="Arial" w:hAnsi="Arial" w:cs="Arial"/>
          <w:sz w:val="10"/>
          <w:szCs w:val="1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http://dlib.eastview.com/browse/doc/19404762</w:t>
      </w: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Saudi Women Pressing for Reform</w:t>
      </w:r>
    </w:p>
    <w:p w:rsidR="00A2795E" w:rsidRDefault="00A2795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Welmer   -   March 31, 2010</w:t>
      </w:r>
    </w:p>
    <w:p w:rsidR="00A2795E" w:rsidRDefault="00A2795E">
      <w:pPr>
        <w:widowControl w:val="0"/>
        <w:autoSpaceDE w:val="0"/>
        <w:autoSpaceDN w:val="0"/>
        <w:adjustRightInd w:val="0"/>
        <w:spacing w:after="0" w:line="240" w:lineRule="auto"/>
        <w:rPr>
          <w:rFonts w:ascii="Arial" w:hAnsi="Arial" w:cs="Arial"/>
          <w:sz w:val="12"/>
          <w:szCs w:val="12"/>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found a blog written by one Sabria Jawar   . . .   Her argument is that women can drive as well as men (I’d say the jury’s out on that one)    .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Ms. Jawar makes some good points.    . . .   However   . . .   how does one address   . . .   legitimate grievances without creating a society such as our own, where even women like Maureen Dowd, who have high status, plenty of money and good jobs, are prone to endlessly complain and attack men?</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10"/>
          <w:szCs w:val="10"/>
        </w:rPr>
      </w:pPr>
      <w:r>
        <w:rPr>
          <w:rFonts w:ascii="Arial" w:hAnsi="Arial" w:cs="Arial"/>
          <w:sz w:val="20"/>
          <w:szCs w:val="20"/>
        </w:rPr>
        <w:tab/>
        <w:t>Is there a balance between shutting women in their homes and giving them license to wreck society and trample on the lives of those around them? I suspect that this will be one of the most difficult questions to answer, and we may have to put a great deal of effort into working it out.</w:t>
      </w:r>
    </w:p>
    <w:p w:rsidR="00A2795E" w:rsidRDefault="00A2795E">
      <w:pPr>
        <w:widowControl w:val="0"/>
        <w:autoSpaceDE w:val="0"/>
        <w:autoSpaceDN w:val="0"/>
        <w:adjustRightInd w:val="0"/>
        <w:spacing w:after="0" w:line="240" w:lineRule="auto"/>
        <w:rPr>
          <w:rFonts w:ascii="Times New Roman" w:hAnsi="Times New Roman" w:cs="Times New Roman"/>
          <w:sz w:val="10"/>
          <w:szCs w:val="10"/>
        </w:rPr>
      </w:pPr>
    </w:p>
    <w:p w:rsidR="00A2795E" w:rsidRDefault="00A2795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http://www.the-spearhead.com/2010/03/31/saudi-women-pressing-for-reform/</w:t>
      </w: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12"/>
          <w:szCs w:val="12"/>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Butler, Nicholas M.</w:t>
      </w:r>
    </w:p>
    <w:p w:rsidR="00A2795E" w:rsidRDefault="00A2795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New World Encyclopedia</w:t>
      </w:r>
    </w:p>
    <w:p w:rsidR="00A2795E" w:rsidRDefault="00A2795E">
      <w:pPr>
        <w:widowControl w:val="0"/>
        <w:autoSpaceDE w:val="0"/>
        <w:autoSpaceDN w:val="0"/>
        <w:adjustRightInd w:val="0"/>
        <w:spacing w:after="0" w:line="240" w:lineRule="auto"/>
        <w:rPr>
          <w:rFonts w:ascii="Arial" w:hAnsi="Arial" w:cs="Arial"/>
          <w:sz w:val="12"/>
          <w:szCs w:val="12"/>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Nicholas Murray Butler (April 2, 1862 – December 7, 1947) was an American educator, philosopher, and diplomat, an advocate of peace through education. The co-winner with Jane Addams of the 1931 Nobel Peace Prize, Butler served as president of Columbia University (1902-1945), and president of the Carnegie Endowment for International Peace (1925-1945).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the fall of 1885, Butler joined the staff of Columbia's philosophy department. In 1887 he co-founded and became president of the New York School for the Training of Teachers, which later affiliated with Columbia University and was renamed Teachers College, Columbia University.    . . .   He worked to limit the admission of Jewish students to the university, and to prevent the election of Jews to the Board of Trustees.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Butler became disillusioned with the negative effects he believed the 1920 national prohibition of alcohol was having on the country. He became active in the successful effort to bring about the repeal of prohibition in 1933.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Butler proposed that universities introduce a standardize method of college admissions. His initiative was applied in a form    . . .   which limited entrance to higher education to the intellectual elite. Because of that, many critics objected that Butler was an elitist.</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autobiographer, Michael Rosenthal (2006) wrote that Butler liked democracy "so long as it didn't interfere with the freedom of a small cadre of the right people to run things." He was famous as an extremely controlling person, always wanted to be “on top of everything.”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Butler   . . .   promoted the merging of education and politics in order to achieve world peace    . . .   He was the head of the Carnegie Endowment for International Peace.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His critics   . . .   objected that Butler supported fascist movements in Europe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was during his tenure that Lionel Trilling became the first tenured Jew in Columbia's English department.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Butler kept discriminatory policies against Jews. For many years of his presidency, Columbia had a strict quota limiting the number of Jews who could attend the school.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Butler   . . .   was able to deliver a Christmas greeting to the nation every year in The New York Times. During his lifetime he received 37 honorary degrees, 13 memberships of foreign societies, and 17 decorations from foreign countries.</w:t>
      </w:r>
    </w:p>
    <w:p w:rsidR="00A2795E" w:rsidRDefault="00A2795E">
      <w:pPr>
        <w:widowControl w:val="0"/>
        <w:autoSpaceDE w:val="0"/>
        <w:autoSpaceDN w:val="0"/>
        <w:adjustRightInd w:val="0"/>
        <w:spacing w:after="0" w:line="240" w:lineRule="auto"/>
        <w:rPr>
          <w:rFonts w:ascii="Times New Roman" w:hAnsi="Times New Roman" w:cs="Times New Roman"/>
          <w:sz w:val="12"/>
          <w:szCs w:val="12"/>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http://www.newworldencyclopedia.org/entry/Nicholas_Murray_Butler</w:t>
      </w: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12"/>
          <w:szCs w:val="12"/>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Nicholas Murray Butler</w:t>
      </w:r>
    </w:p>
    <w:p w:rsidR="00A2795E" w:rsidRDefault="00A2795E">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Wikipedia</w:t>
      </w:r>
    </w:p>
    <w:p w:rsidR="00A2795E" w:rsidRDefault="00A2795E">
      <w:pPr>
        <w:widowControl w:val="0"/>
        <w:autoSpaceDE w:val="0"/>
        <w:autoSpaceDN w:val="0"/>
        <w:adjustRightInd w:val="0"/>
        <w:spacing w:after="0" w:line="240" w:lineRule="auto"/>
        <w:rPr>
          <w:rFonts w:ascii="Arial" w:hAnsi="Arial" w:cs="Arial"/>
          <w:sz w:val="24"/>
          <w:szCs w:val="24"/>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Like many American intellectuals in the 1920s, he was an early admirer of Italian fascist Benito Mussolini and worked to forge cultural relations between Columbia and Italian institutions. The most visible example of this relationship was the Casa Italiana on 117th Street and Amsterdam Avenue, which still stands today.</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Butler also forged links with universities in Nazi Germany. In 1933, Butler invited Hans Luther, the German ambassador to the U.S., to speak at Columbia in defence of Hitler and the Nazis. Butler rejected student appeals to cancel the invitation, calling the request "illiberal" and citing the need for academic freedom.</w:t>
      </w:r>
      <w:r>
        <w:rPr>
          <w:rFonts w:ascii="Arial" w:hAnsi="Arial" w:cs="Arial"/>
          <w:position w:val="5"/>
          <w:sz w:val="16"/>
          <w:szCs w:val="16"/>
          <w:vertAlign w:val="superscript"/>
        </w:rPr>
        <w:t xml:space="preserve"> 2</w:t>
      </w:r>
      <w:r>
        <w:rPr>
          <w:rFonts w:ascii="Arial" w:hAnsi="Arial" w:cs="Arial"/>
          <w:sz w:val="20"/>
          <w:szCs w:val="20"/>
        </w:rPr>
        <w:t xml:space="preserve"> Later, when the Nazi threat became clearer, Butler vigorously supported the American war effort.</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1941, the Pulitzer Prize fiction jury selected Ernest Hemingway's For Whom the Bell Tolls. The Pulitzer Board initially agreed with that judgement, but Butler, ex-officio head of the Pulitzer board, found the novel offensive and persuaded the board to reverse its determination, so that no novel received the prize that year. </w:t>
      </w:r>
      <w:r>
        <w:rPr>
          <w:rFonts w:ascii="Arial" w:hAnsi="Arial" w:cs="Arial"/>
          <w:position w:val="5"/>
          <w:sz w:val="16"/>
          <w:szCs w:val="16"/>
          <w:vertAlign w:val="superscript"/>
        </w:rPr>
        <w:t>3</w:t>
      </w:r>
      <w:r>
        <w:rPr>
          <w:rFonts w:ascii="Arial" w:hAnsi="Arial" w:cs="Arial"/>
          <w:sz w:val="20"/>
          <w:szCs w:val="20"/>
        </w:rPr>
        <w:t xml:space="preserve">    . . .</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   . . .   dismissed faculty members who displeased him, such as the great classical scholar Harry Thurston Peck, and others who dared to question his dismissals, such as the civil rights pioneer Joel Elias Spingarn.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His work tended toward the portentous and overblown. In The American Mercury, the critic Dorothy Dunbar Bromley referred to Butler's pronouncements as "those interminable miasmas of guff."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Butler opposed statehood for the then-US territory of Hawaii, arguing that "In population, in language, and in economic life (Hawaii) is distinctly a foreign land. …(Its people) are not and could not be members of the United States of America in any true sense." </w:t>
      </w:r>
      <w:r>
        <w:rPr>
          <w:rFonts w:ascii="Arial" w:hAnsi="Arial" w:cs="Arial"/>
          <w:position w:val="5"/>
          <w:sz w:val="16"/>
          <w:szCs w:val="16"/>
          <w:vertAlign w:val="superscript"/>
        </w:rPr>
        <w:t>4</w:t>
      </w:r>
      <w:r>
        <w:rPr>
          <w:rFonts w:ascii="Arial" w:hAnsi="Arial" w:cs="Arial"/>
          <w:sz w:val="20"/>
          <w:szCs w:val="20"/>
        </w:rPr>
        <w:t xml:space="preserve">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Butler   . . .   supported policies at Columbia that discriminated against Jews, whether they were applicants for admission, students or potential members of the board of trustees. </w:t>
      </w:r>
      <w:r>
        <w:rPr>
          <w:rFonts w:ascii="Arial" w:hAnsi="Arial" w:cs="Arial"/>
          <w:position w:val="5"/>
          <w:sz w:val="16"/>
          <w:szCs w:val="16"/>
          <w:vertAlign w:val="superscript"/>
        </w:rPr>
        <w:t>5</w:t>
      </w:r>
      <w:r>
        <w:rPr>
          <w:rFonts w:ascii="Arial" w:hAnsi="Arial" w:cs="Arial"/>
          <w:sz w:val="20"/>
          <w:szCs w:val="20"/>
        </w:rPr>
        <w:t xml:space="preserve">   . . .     In 1928, the Board of Trustees authorized the creation of “Seth Low Junior College” in Brooklyn as a way to deal with the number of Jewish (and Italian) applicants. If Columbia College, the university’s prestigious undergraduate school, had already admitted its modest quota of Jews for the year, other Jewish applicants would be shunted to Seth Low.   . . .  When Seth Low folded in 1938, its remaining students were absorbed into Columbia's undergraduate population as students in the University Extension program; as such, they were only eligible to earn a Bachelor of Science degree rather than a Bachelor of Arts.    . . .</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References</w:t>
      </w:r>
    </w:p>
    <w:p w:rsidR="00A2795E" w:rsidRDefault="00A2795E">
      <w:pPr>
        <w:widowControl w:val="0"/>
        <w:autoSpaceDE w:val="0"/>
        <w:autoSpaceDN w:val="0"/>
        <w:adjustRightInd w:val="0"/>
        <w:spacing w:after="0" w:line="240" w:lineRule="auto"/>
        <w:rPr>
          <w:rFonts w:ascii="Arial" w:hAnsi="Arial" w:cs="Arial"/>
          <w:sz w:val="12"/>
          <w:szCs w:val="12"/>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"DR. BUTLER REFUSES TO BAR NAZI ENVOY; Columbia Head Rejects Plea by Students to Cancel Dr. Luther's Address. CALLS REQUEST ILLIBERAL Stresses Need for Academic Freedom -- Club Is Reported Planning Demonstration.", The New York Times, November 20, 1933. Accessed August 28, 2008.</w:t>
      </w:r>
    </w:p>
    <w:p w:rsidR="00A2795E" w:rsidRDefault="00A2795E">
      <w:pPr>
        <w:widowControl w:val="0"/>
        <w:autoSpaceDE w:val="0"/>
        <w:autoSpaceDN w:val="0"/>
        <w:adjustRightInd w:val="0"/>
        <w:spacing w:after="0" w:line="240" w:lineRule="auto"/>
        <w:rPr>
          <w:rFonts w:ascii="Arial" w:hAnsi="Arial" w:cs="Arial"/>
          <w:sz w:val="12"/>
          <w:szCs w:val="12"/>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McDowell, Edwin. "Publishing: Pulitzer Controversies." New York Times, 11 May 1984</w:t>
      </w:r>
    </w:p>
    <w:p w:rsidR="00A2795E" w:rsidRDefault="00A2795E">
      <w:pPr>
        <w:widowControl w:val="0"/>
        <w:autoSpaceDE w:val="0"/>
        <w:autoSpaceDN w:val="0"/>
        <w:adjustRightInd w:val="0"/>
        <w:spacing w:after="0" w:line="240" w:lineRule="auto"/>
        <w:rPr>
          <w:rFonts w:ascii="Arial" w:hAnsi="Arial" w:cs="Arial"/>
          <w:sz w:val="12"/>
          <w:szCs w:val="12"/>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 TERRITORIES: Knock on the Door, TIME Magazine, December 22, 1947</w:t>
      </w:r>
    </w:p>
    <w:p w:rsidR="00A2795E" w:rsidRDefault="00A2795E">
      <w:pPr>
        <w:widowControl w:val="0"/>
        <w:autoSpaceDE w:val="0"/>
        <w:autoSpaceDN w:val="0"/>
        <w:adjustRightInd w:val="0"/>
        <w:spacing w:after="0" w:line="240" w:lineRule="auto"/>
        <w:rPr>
          <w:rFonts w:ascii="Arial" w:hAnsi="Arial" w:cs="Arial"/>
          <w:sz w:val="12"/>
          <w:szCs w:val="12"/>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 Interview with Professor Michael Rosenthal, reported in “The Guy the Library’s Named After,” Blue and White Blog, entry of March 4, 2006, 11:17 pm, http://www.theblueandwhite.org/index.php?page post&amp;article_id 584</w:t>
      </w:r>
    </w:p>
    <w:p w:rsidR="00A2795E" w:rsidRDefault="00A2795E">
      <w:pPr>
        <w:widowControl w:val="0"/>
        <w:autoSpaceDE w:val="0"/>
        <w:autoSpaceDN w:val="0"/>
        <w:adjustRightInd w:val="0"/>
        <w:spacing w:after="0" w:line="240" w:lineRule="auto"/>
        <w:rPr>
          <w:rFonts w:ascii="Arial" w:hAnsi="Arial" w:cs="Arial"/>
          <w:sz w:val="12"/>
          <w:szCs w:val="12"/>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[7] Robert A. McCaughey, Stand Columbia, Columbia University Press, 2003, Appendix “F”, “Topical Timelines #9,” “Columbia and the ‘Jewish Problem’” http://beatl.barnard.columbia.edu/stand_columbia/f.html</w:t>
      </w:r>
    </w:p>
    <w:p w:rsidR="00A2795E" w:rsidRDefault="00A2795E">
      <w:pPr>
        <w:widowControl w:val="0"/>
        <w:autoSpaceDE w:val="0"/>
        <w:autoSpaceDN w:val="0"/>
        <w:adjustRightInd w:val="0"/>
        <w:spacing w:after="0" w:line="240" w:lineRule="auto"/>
        <w:rPr>
          <w:rFonts w:ascii="Arial" w:hAnsi="Arial" w:cs="Arial"/>
          <w:sz w:val="12"/>
          <w:szCs w:val="12"/>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[Other] Michael Rosenthal, Nicholas Miraculous: The Amazing Career of the Redoubtable Dr. Nicholas Murray Butler, Farrar, Straus and Giroux 2006, ISBN 0-374-29994-3</w:t>
      </w:r>
    </w:p>
    <w:p w:rsidR="00A2795E" w:rsidRDefault="00A2795E">
      <w:pPr>
        <w:widowControl w:val="0"/>
        <w:autoSpaceDE w:val="0"/>
        <w:autoSpaceDN w:val="0"/>
        <w:adjustRightInd w:val="0"/>
        <w:spacing w:after="0" w:line="240" w:lineRule="auto"/>
        <w:rPr>
          <w:rFonts w:ascii="Times New Roman" w:hAnsi="Times New Roman" w:cs="Times New Roman"/>
          <w:sz w:val="12"/>
          <w:szCs w:val="12"/>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http://en.wikipedia.org/wiki/Nicholas_Murray_Butler</w:t>
      </w: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8"/>
          <w:szCs w:val="8"/>
        </w:rPr>
      </w:pPr>
    </w:p>
    <w:p w:rsidR="00A2795E" w:rsidRDefault="00A2795E">
      <w:pPr>
        <w:widowControl w:val="0"/>
        <w:autoSpaceDE w:val="0"/>
        <w:autoSpaceDN w:val="0"/>
        <w:adjustRightInd w:val="0"/>
        <w:spacing w:after="0" w:line="240" w:lineRule="auto"/>
        <w:rPr>
          <w:rFonts w:ascii="Times New Roman" w:hAnsi="Times New Roman" w:cs="Times New Roman"/>
          <w:sz w:val="8"/>
          <w:szCs w:val="8"/>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0"/>
          <w:szCs w:val="20"/>
        </w:rPr>
      </w:pPr>
    </w:p>
    <w:p w:rsidR="00A2795E" w:rsidRDefault="00A2795E">
      <w:pPr>
        <w:widowControl w:val="0"/>
        <w:autoSpaceDE w:val="0"/>
        <w:autoSpaceDN w:val="0"/>
        <w:adjustRightInd w:val="0"/>
        <w:spacing w:after="0" w:line="240" w:lineRule="auto"/>
        <w:rPr>
          <w:rFonts w:ascii="Times New Roman" w:hAnsi="Times New Roman" w:cs="Times New Roman"/>
          <w:sz w:val="24"/>
          <w:szCs w:val="24"/>
        </w:rPr>
      </w:pPr>
    </w:p>
    <w:p w:rsidR="00A2795E" w:rsidRDefault="00A2795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The Center for Inquiry West is, of course, not what it seems,</w:t>
      </w:r>
    </w:p>
    <w:p w:rsidR="00A2795E" w:rsidRDefault="00A2795E">
      <w:pPr>
        <w:widowControl w:val="0"/>
        <w:autoSpaceDE w:val="0"/>
        <w:autoSpaceDN w:val="0"/>
        <w:adjustRightInd w:val="0"/>
        <w:spacing w:after="0" w:line="240" w:lineRule="auto"/>
        <w:rPr>
          <w:rFonts w:ascii="Times New Roman" w:hAnsi="Times New Roman" w:cs="Times New Roman"/>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but may not be worth much of your time.</w:t>
      </w: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Albert R. Vogeler</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"Esoterica." As a category of literature in libraries, or on dusty shelves of used-book shops, the word implies books that are rare, obscure, secret, faintly sinister, perverse, delusional, unintelligible, and connected to rites, magic, and cults. "Esoterica"--which can be more or less equated with "hermetica" and "arcana"-- does indeed claim to embody hidden knowledge of great significance--life-transforming secrets--which are accessible only through guided insight and spiritual training. The implied distaste, suspicion, and dismissal of esoteric literature today is of course a modern rational response to a vast body of texts in many languages, some with a long history of influence, veneration, and deep study in both Western and Eastern cultures.</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concentrated collections, esoterica has historically comprised whole independent libraries, as distinct from recent specialized collections of esoterica within general libraries. An esoteric library has always been tangible: a collection of books. But today it may also be virtual: a collection of titles on a computer screen. The jarring fact about esoteric libraries is that many have websites. Some are apparently nothing but websites. We cannot easily know how many esoteric groups are not on line. But those that are on line apparently have no qualms about self-advertisement. For any library, the transformation of books from a physical to a virtual existence is--at least for the older generation-miraculous and even discomfiting. But for an esoteric library it creates what the critics call "cognitive dissonance." Secrecy, privacy, and spirituality seem blatantly inconsistent with a public presentation promoting promiscuous access.</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On-line esoteric libraries are usually more than lists of titles. Books may be excerpted, and in some cases full texts can be summoned up; background and commentary (as on a DVD) may be provided; and links establish new connections. The esoteric teachings of Theosophy, Anthroposophy, and Rosicrucianism are notable for their displays of important documents. But each presents itself initially as an educational, therapeutic, or self-help program promoting ethics and the good life; and each veils or defers mention of its metaphysical substructure, cross-cult connections, and internal power struggles. Continuity with ancient traditions and relevance to modern life are both stressed; co-fraternity with and differences from other esoteric groups have to be shown; the difficulty and the promise of grasping hidden truths have to be balanced.</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Esoteric libraries consisting of real books are not necessarily in remote places: some may be found in the heart of modern civilization. People who have, or want to have, direct conversation with the dead, or who puzzle over ghosts, poltergeists, or precognition should know the immense treasure-trove of published testimony on these subjects in a building on a quiet London street. There, the Society for Psychical Research, a survival of the Victorian fascination with spiritualism, soldiers on in a skeptical age. So does the Swedenborg Society in Bloomsbury, dedicated to perpetuating the grandiose cosmological vision of the eighteenth-century Swedish mystic. And the Rosicrucians (Ancient and Mystical Order Rosae Crucis) maintain a religious compound in San Jose with a library, planetarium, and Egyptian museum all testifying to the heterogeneous esoteric sources of the Order.</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Esoteric libraries of alchemy, astrology, witchcraft, and magic may have disturbing associations: remember, in Harry Potter, how the Hogwarts Library's thick volume of powerful incantations burst suddenly into flames when it was opened by an unqualified reader? By distilling elixirs, casting spells, and reading horoscopes, Masters and adepts gain secret knowledge that supposedly permits powerful interventions in the natural order. At the extreme limits of Tantrism, Yoga, Kabbala, and Sufism (all well represented in websites) paranormal events purportedly accompany enlightenment. For believers, libraries of esoteric books represent reservoirs of concentrated spiritual energy waiting to be tapped.</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people assume that Theosophy is a venerable esoteric tradition-but it was invented in New York only in 1875 by Madame Helena Blavatsky. Its authoritative works, many of which are on its internet library, hark back to ancient traditions, primarily Hindu, but are also elaborate inventions of its prolific founder (the website lists her seven books and provides the texts of 238 of her articles). There are in fact several Theosophical websites competing for authenticity and members. (The doctrines, schisms, and politics of the movement are recounted in a top-notch scholarly journal published at Cal State Fullerton and edited by James Santucci of the Comparative Religion Department: Theosophical History.)</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of Theosophy's esoteric teachings, the coming of a new messiah or World Teacher, led to Jiddu Krishnamurti's acceptance of this exalted role, which he then renounced in 1928. During the next six decades, he practiced as an independent guru, rejecting the name but fulfilling the role, in the process creating a new persona and a new body of esoteric literature to be found on the Krishnamurti Foundation website.</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books of secret teaching of Eckancar, the esoteric science of soul flight, are on its website. If, after years of devoted study, you become an adept, you can hope to travel fast and free-no fare, no luggage-and no body. Fortunately, or unfortunately, your destination must be on a higher plane of existence, not Hawaii, and illumination, not relaxation, will be your reward.</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Scientology, whose origins in 1950s pop culture are obvious, provides a website in which the " library of Scientology" begins with a dozen science fiction pulp novels by L. Ron Hubbard. In its aggressive growth from Dianetics into a "Church"--always reliant on secret teachings needing increasingly advanced interpretation, and expanding costs and commitments-it purveys its primal myths at a price, and gains a cultural presence through influential converts like Tom Cruise.</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Thelema, a contemporary outgrowth of the obsessive confabulations of Aleister Crowley a century ago, offers a vast website library of Crowley's orphic utterances. His notorious "Abbey of Theleme" in Sicily, shut down by Mussolini, provides the inspiration of modern Thelemites in its motto, "Do what thou wilt shall be the sum of the law." Not license, they insist on their website, but freedom and fulfillment, are their aims. A surprisingly large number of local branches, including one in Laguna Hills, invite you to participate.</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highly-evolved Masonic Orders do not present themselves to the public primarily as esoteric institutions, but their roots run deep in the occult world, their symbols and nomenclature reflect it, and their libraries expound it. Mormons, accommodating to much of modern life, nevertheless have their origins in Freemasonry and occultism, and share secret books and hidden ceremonies with esoteric cults, along with sacerdotal hierarchies, changing revelations, suppressed practices, sacralized mythologies, and costly membership. The websites of most New Age religions also testify to their esoteric heritage.</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esoterica puts you off, or makes you impatient and bewildered, the antidote may easily be found. A refreshingly different kind of institution, dedicated to sweeping away mental cobwebs, has recently appeared on Hollywood Boulevard. The Center for Inquiry West (sponsored by the Council on Secular Humanism and the Committee for the Scientific Investigation of Claims of the Paranormal) is devoted to promoting critical thinking, scientific method, and liberal social values. There are other Centers of Inquiry around the country. These people are tenacious skeptics, rationalists, debunkers, and practitioners of open debate. Their library serves their cause of mental liberation. How much more anti-esoteric can you be?</w:t>
      </w:r>
    </w:p>
    <w:p w:rsidR="00A2795E" w:rsidRDefault="00A2795E">
      <w:pPr>
        <w:widowControl w:val="0"/>
        <w:autoSpaceDE w:val="0"/>
        <w:autoSpaceDN w:val="0"/>
        <w:adjustRightInd w:val="0"/>
        <w:spacing w:after="0" w:line="240" w:lineRule="auto"/>
        <w:rPr>
          <w:rFonts w:ascii="Arial" w:hAnsi="Arial" w:cs="Arial"/>
          <w:sz w:val="12"/>
          <w:szCs w:val="12"/>
        </w:rPr>
      </w:pPr>
    </w:p>
    <w:p w:rsidR="00A2795E" w:rsidRDefault="00A2795E">
      <w:pPr>
        <w:widowControl w:val="0"/>
        <w:autoSpaceDE w:val="0"/>
        <w:autoSpaceDN w:val="0"/>
        <w:adjustRightInd w:val="0"/>
        <w:spacing w:after="0" w:line="240" w:lineRule="auto"/>
        <w:rPr>
          <w:rFonts w:ascii="Courier New" w:hAnsi="Courier New" w:cs="Courier New"/>
          <w:sz w:val="20"/>
          <w:szCs w:val="20"/>
        </w:rPr>
      </w:pPr>
      <w:r>
        <w:rPr>
          <w:rFonts w:ascii="Times New Roman" w:hAnsi="Times New Roman" w:cs="Times New Roman"/>
          <w:sz w:val="20"/>
          <w:szCs w:val="20"/>
        </w:rPr>
        <w:tab/>
        <w:t>--- http://www.library.fullerton.edu/Patrons/patrons_articles/Esoteric_Libraries_91707.doc</w:t>
      </w:r>
    </w:p>
    <w:p w:rsidR="00A2795E" w:rsidRDefault="00A2795E">
      <w:pPr>
        <w:widowControl w:val="0"/>
        <w:autoSpaceDE w:val="0"/>
        <w:autoSpaceDN w:val="0"/>
        <w:adjustRightInd w:val="0"/>
        <w:spacing w:after="0" w:line="240" w:lineRule="auto"/>
        <w:rPr>
          <w:rFonts w:ascii="Courier New" w:hAnsi="Courier New" w:cs="Courier New"/>
          <w:sz w:val="20"/>
          <w:szCs w:val="20"/>
        </w:rPr>
      </w:pPr>
    </w:p>
    <w:p w:rsidR="00A2795E" w:rsidRDefault="00A2795E">
      <w:pPr>
        <w:widowControl w:val="0"/>
        <w:autoSpaceDE w:val="0"/>
        <w:autoSpaceDN w:val="0"/>
        <w:adjustRightInd w:val="0"/>
        <w:spacing w:after="0" w:line="240" w:lineRule="auto"/>
        <w:rPr>
          <w:rFonts w:ascii="Courier New" w:hAnsi="Courier New" w:cs="Courier New"/>
          <w:sz w:val="28"/>
          <w:szCs w:val="28"/>
        </w:rPr>
      </w:pPr>
    </w:p>
    <w:p w:rsidR="00A2795E" w:rsidRDefault="00A2795E">
      <w:pPr>
        <w:widowControl w:val="0"/>
        <w:autoSpaceDE w:val="0"/>
        <w:autoSpaceDN w:val="0"/>
        <w:adjustRightInd w:val="0"/>
        <w:spacing w:after="0" w:line="240" w:lineRule="auto"/>
        <w:rPr>
          <w:rFonts w:ascii="Times New Roman" w:hAnsi="Times New Roman" w:cs="Times New Roman"/>
          <w:sz w:val="34"/>
          <w:szCs w:val="34"/>
        </w:rPr>
      </w:pP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Arthur Ledeen (born Los Angeles, California, August 1, 1941) is a scholar at the Foundation for Defense of Democracies and a contributing editor to National Review. Ledeen was a founding member of the Jewish Institute for National Security Affairs (JINSA), and he serves on the JINSA Board of Advisors. Ledeen is also a member of Benador Associates.</w:t>
      </w:r>
    </w:p>
    <w:p w:rsidR="00A2795E" w:rsidRDefault="00A2795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 1974, Michael Ledeen moved to Rome where he studied the history of the Italian Fascism. In 1977, he went to Washington to join the Center for Strategic and International Studies affiliated with Georgetown University. He continues to visit Italy frequently.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Ledeen holds a Ph.D. from the University of Wisconsin-Madison, where he specialized in Modern Europe. At Washington University, Ledeen was denied tenure, according to history department faculty interviewed by the Washington Post, because of questions regarding the "quality of his scholarship" and about whether Ledeen had "used the work of somebody else without proper credit". One faculty member said "the 'quasi-irregularity' at issue didn't warrant the negative vote on tenure for Ledeen" Ledeen was subsequently named Visiting Professor at the University of Rome.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Earlier in his career, Ledeen authored Universal Fascism: The Theory and Practice of the Fascist International, 1928-1936, published in 1972 and now out of print. The book, which was his doctoral dissertation, was the first work to explore Mussolini's efforts to create a Fascist international in the late 1920s and early 1930s. Ledeen follows Italian historian Renzo de Felice in drawing a distinction between "fascism-regime" and "fascism-movement", and seems to approve of at least one aspect of the latter, saying "fascism nevertheless constituted a political revolution in Italy. For the first time, there was an attempt to mobilize the masses and to involve them in the political life of the country", and describing the fascist state as "a generator of energy and creativity". Ledeen continued his studies in Italian Fascism with a biography of Gabriele d'Annunzio, who Ledeen argued was the proto-type for Benito Mussolini.</w:t>
      </w:r>
    </w:p>
    <w:p w:rsidR="00A2795E" w:rsidRDefault="00A2795E">
      <w:pPr>
        <w:widowControl w:val="0"/>
        <w:autoSpaceDE w:val="0"/>
        <w:autoSpaceDN w:val="0"/>
        <w:adjustRightInd w:val="0"/>
        <w:spacing w:after="0" w:line="240" w:lineRule="auto"/>
        <w:rPr>
          <w:rFonts w:ascii="Arial" w:hAnsi="Arial" w:cs="Arial"/>
          <w:sz w:val="20"/>
          <w:szCs w:val="20"/>
        </w:rPr>
      </w:pPr>
    </w:p>
    <w:p w:rsidR="00A2795E" w:rsidRDefault="00A2795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Ledeen is a strong admirer of Niccolò Machiavelli, whom he regards as one of the greatest political thinkers. In Ledeen's view, Machiavelli combined democratic idealism and the necessary political realism to secure and defend idealism in perfect measure.   . . .</w:t>
      </w: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He denied having worked with [Francesco] Pazienza or Propaganda Due as part of a disinformation scheme. "I knew Pazienza," he explained. "I didn't think P-2 existed. I thought it was all nonsense — typical Italian fantasy."   . . . </w:t>
      </w:r>
    </w:p>
    <w:p w:rsidR="00A2795E" w:rsidRDefault="00A2795E">
      <w:pPr>
        <w:widowControl w:val="0"/>
        <w:autoSpaceDE w:val="0"/>
        <w:autoSpaceDN w:val="0"/>
        <w:adjustRightInd w:val="0"/>
        <w:spacing w:after="0" w:line="240" w:lineRule="auto"/>
        <w:rPr>
          <w:rFonts w:ascii="Arial" w:hAnsi="Arial" w:cs="Arial"/>
          <w:sz w:val="14"/>
          <w:szCs w:val="14"/>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Ledeen:</w:t>
      </w:r>
    </w:p>
    <w:p w:rsidR="00A2795E" w:rsidRDefault="00A2795E">
      <w:pPr>
        <w:widowControl w:val="0"/>
        <w:autoSpaceDE w:val="0"/>
        <w:autoSpaceDN w:val="0"/>
        <w:adjustRightInd w:val="0"/>
        <w:spacing w:after="0" w:line="240" w:lineRule="auto"/>
        <w:rPr>
          <w:rFonts w:ascii="Arial" w:hAnsi="Arial" w:cs="Arial"/>
          <w:sz w:val="10"/>
          <w:szCs w:val="10"/>
        </w:rPr>
      </w:pPr>
    </w:p>
    <w:p w:rsidR="00A2795E" w:rsidRDefault="00A2795E">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r>
      <w:r>
        <w:rPr>
          <w:rFonts w:ascii="Arial" w:hAnsi="Arial" w:cs="Arial"/>
          <w:sz w:val="20"/>
          <w:szCs w:val="20"/>
        </w:rPr>
        <w:tab/>
        <w:t>"the level of casualties (in Iraq) is secondary"</w:t>
      </w:r>
    </w:p>
    <w:p w:rsidR="00A2795E" w:rsidRDefault="00A2795E">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r>
      <w:r>
        <w:rPr>
          <w:rFonts w:ascii="Arial" w:hAnsi="Arial" w:cs="Arial"/>
          <w:sz w:val="20"/>
          <w:szCs w:val="20"/>
        </w:rPr>
        <w:tab/>
        <w:t>"we are a warlike people (Americans)...we love war"</w:t>
      </w:r>
    </w:p>
    <w:p w:rsidR="00A2795E" w:rsidRDefault="00A2795E">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r>
      <w:r>
        <w:rPr>
          <w:rFonts w:ascii="Arial" w:hAnsi="Arial" w:cs="Arial"/>
          <w:sz w:val="20"/>
          <w:szCs w:val="20"/>
        </w:rPr>
        <w:tab/>
        <w:t>“Change — above all violent change — is the essence of human history"</w:t>
      </w:r>
    </w:p>
    <w:p w:rsidR="00A2795E" w:rsidRDefault="00A2795E">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r>
      <w:r>
        <w:rPr>
          <w:rFonts w:ascii="Arial" w:hAnsi="Arial" w:cs="Arial"/>
          <w:sz w:val="20"/>
          <w:szCs w:val="20"/>
        </w:rPr>
        <w:tab/>
        <w:t>"the only way to achieve peace is through total war"</w:t>
      </w:r>
    </w:p>
    <w:p w:rsidR="00A2795E" w:rsidRDefault="00A2795E">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r>
      <w:r>
        <w:rPr>
          <w:rFonts w:ascii="Arial" w:hAnsi="Arial" w:cs="Arial"/>
          <w:sz w:val="20"/>
          <w:szCs w:val="20"/>
        </w:rPr>
        <w:tab/>
        <w:t>"The purpose of total war is to permanently force your will onto another people"</w:t>
      </w:r>
    </w:p>
    <w:p w:rsidR="00A2795E" w:rsidRDefault="00A2795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r>
      <w:r>
        <w:rPr>
          <w:rFonts w:ascii="Arial" w:hAnsi="Arial" w:cs="Arial"/>
          <w:sz w:val="20"/>
          <w:szCs w:val="20"/>
        </w:rPr>
        <w:tab/>
        <w:t>"Every ten years or so, the United States needs to pick up some small crappy little country and throw it against the wall, just to show the world we mean business"   . . .</w:t>
      </w:r>
    </w:p>
    <w:p w:rsidR="00A2795E" w:rsidRDefault="00A2795E">
      <w:pPr>
        <w:widowControl w:val="0"/>
        <w:autoSpaceDE w:val="0"/>
        <w:autoSpaceDN w:val="0"/>
        <w:adjustRightInd w:val="0"/>
        <w:spacing w:after="0" w:line="240" w:lineRule="auto"/>
        <w:rPr>
          <w:rFonts w:ascii="Arial" w:hAnsi="Arial" w:cs="Arial"/>
          <w:sz w:val="14"/>
          <w:szCs w:val="14"/>
        </w:rPr>
      </w:pPr>
    </w:p>
    <w:p w:rsidR="00A2795E" w:rsidRDefault="00A2795E">
      <w:pPr>
        <w:widowControl w:val="0"/>
        <w:autoSpaceDE w:val="0"/>
        <w:autoSpaceDN w:val="0"/>
        <w:adjustRightInd w:val="0"/>
        <w:spacing w:after="0" w:line="240" w:lineRule="auto"/>
        <w:rPr>
          <w:rFonts w:ascii="Arial" w:hAnsi="Arial" w:cs="Arial"/>
          <w:sz w:val="16"/>
          <w:szCs w:val="16"/>
        </w:rPr>
      </w:pPr>
    </w:p>
    <w:p w:rsidR="00A2795E" w:rsidRDefault="00A2795E">
      <w:pPr>
        <w:widowControl w:val="0"/>
        <w:autoSpaceDE w:val="0"/>
        <w:autoSpaceDN w:val="0"/>
        <w:adjustRightInd w:val="0"/>
        <w:spacing w:after="0" w:line="240" w:lineRule="auto"/>
        <w:rPr>
          <w:rFonts w:ascii="Times New Roman" w:hAnsi="Times New Roman" w:cs="Times New Roman"/>
          <w:sz w:val="10"/>
          <w:szCs w:val="10"/>
        </w:rPr>
      </w:pPr>
      <w:r>
        <w:rPr>
          <w:rFonts w:ascii="Arial" w:hAnsi="Arial" w:cs="Arial"/>
          <w:sz w:val="20"/>
          <w:szCs w:val="20"/>
        </w:rPr>
        <w:tab/>
        <w:t>The American Conservative has claimed that Ledeen had strong sympathies for Italian fascism and that "Ledeen’s careful distinction between fascist 'regime' and 'movement' makes him a clear apologist for the latter."</w:t>
      </w:r>
    </w:p>
    <w:p w:rsidR="00A2795E" w:rsidRDefault="00A2795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http://en.wikipedia.org/wiki/Michael_Ledeen</w:t>
      </w:r>
    </w:p>
    <w:p w:rsidR="00A2795E" w:rsidRDefault="00A2795E">
      <w:pPr>
        <w:widowControl w:val="0"/>
        <w:autoSpaceDE w:val="0"/>
        <w:autoSpaceDN w:val="0"/>
        <w:adjustRightInd w:val="0"/>
        <w:spacing w:after="0" w:line="240" w:lineRule="auto"/>
        <w:rPr>
          <w:rFonts w:ascii="Times New Roman" w:hAnsi="Times New Roman" w:cs="Times New Roman"/>
          <w:sz w:val="82"/>
          <w:szCs w:val="82"/>
        </w:rPr>
      </w:pPr>
    </w:p>
    <w:p w:rsidR="00A2795E" w:rsidRDefault="00A2795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A2795E" w:rsidRDefault="00A2795E">
      <w:pPr>
        <w:widowControl w:val="0"/>
        <w:autoSpaceDE w:val="0"/>
        <w:autoSpaceDN w:val="0"/>
        <w:adjustRightInd w:val="0"/>
        <w:spacing w:after="0" w:line="240" w:lineRule="auto"/>
        <w:rPr>
          <w:rFonts w:ascii="Times New Roman" w:hAnsi="Times New Roman" w:cs="Times New Roman"/>
          <w:sz w:val="34"/>
          <w:szCs w:val="34"/>
        </w:rPr>
      </w:pPr>
    </w:p>
    <w:p w:rsidR="00A2795E" w:rsidRDefault="00A2795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A2795E" w:rsidSect="00A2795E">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95E" w:rsidRDefault="00A2795E" w:rsidP="00A2795E">
      <w:pPr>
        <w:spacing w:after="0" w:line="240" w:lineRule="auto"/>
      </w:pPr>
      <w:r>
        <w:separator/>
      </w:r>
    </w:p>
  </w:endnote>
  <w:endnote w:type="continuationSeparator" w:id="0">
    <w:p w:rsidR="00A2795E" w:rsidRDefault="00A2795E" w:rsidP="00A279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95E" w:rsidRDefault="00A2795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95E" w:rsidRDefault="00A2795E" w:rsidP="00A2795E">
      <w:pPr>
        <w:spacing w:after="0" w:line="240" w:lineRule="auto"/>
      </w:pPr>
      <w:r>
        <w:separator/>
      </w:r>
    </w:p>
  </w:footnote>
  <w:footnote w:type="continuationSeparator" w:id="0">
    <w:p w:rsidR="00A2795E" w:rsidRDefault="00A2795E" w:rsidP="00A279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95E" w:rsidRDefault="00A2795E">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795E"/>
    <w:rsid w:val="009D02AD"/>
    <w:rsid w:val="00A2795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5389</Words>
  <Characters>30720</Characters>
  <Application>Microsoft Office Word</Application>
  <DocSecurity>0</DocSecurity>
  <Lines>256</Lines>
  <Paragraphs>72</Paragraphs>
  <ScaleCrop>false</ScaleCrop>
  <Company/>
  <LinksUpToDate>false</LinksUpToDate>
  <CharactersWithSpaces>36037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2019-06-04T00:47:00Z</dcterms:created>
  <dcterms:modified xsi:type="dcterms:W3CDTF">2019-06-04T00:47:00Z</dcterms:modified>
</cp:coreProperties>
</file>